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Социальный проект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МБУ ДО ЭЦ “ЭкоСфера” г. Липецка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(ID соц. партнера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10040310 ) на Добро.Ру ID задачи №699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https://goo.su/e1xs0h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Чек - лист проекта 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17.03.26  Паспорта экскурсии 14.03 и 28.03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Инструкция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Название проекта: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“Разработка методики эко-просвещения школьников на онлайн-платформе «ЭкоСфера» (Липецк)”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09090b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9090b"/>
          <w:sz w:val="28"/>
          <w:szCs w:val="28"/>
          <w:rtl w:val="0"/>
        </w:rPr>
        <w:t xml:space="preserve">Описание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276" w:lineRule="auto"/>
        <w:jc w:val="both"/>
        <w:rPr>
          <w:rFonts w:ascii="Times New Roman" w:cs="Times New Roman" w:eastAsia="Times New Roman" w:hAnsi="Times New Roman"/>
          <w:color w:val="09090b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9090b"/>
          <w:sz w:val="28"/>
          <w:szCs w:val="28"/>
          <w:rtl w:val="0"/>
        </w:rPr>
        <w:t xml:space="preserve">Разработать и апробировать интерактивный образовательный контент (методические материалы, сценарии занятий, виртуальные экскурсии), ориентированный на педагогов дополнительного образования. Данный продукт позволит в доступной цифровой форме познакомить школьников города Липецка с особо охраняемыми природными территориями (ООПТ) региона и способствовать формированию у них навыков ответственного экологического поведения.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276" w:lineRule="auto"/>
        <w:jc w:val="both"/>
        <w:rPr>
          <w:rFonts w:ascii="Times New Roman" w:cs="Times New Roman" w:eastAsia="Times New Roman" w:hAnsi="Times New Roman"/>
          <w:color w:val="09090b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9090b"/>
          <w:sz w:val="28"/>
          <w:szCs w:val="28"/>
          <w:rtl w:val="0"/>
        </w:rPr>
        <w:t xml:space="preserve">МБУ ДО ЭЦ «ЭкоСфера» в своей работе активно внедряет современные подходы к обучению, однако сталкивается с кадровыми, временными и методическими ограничениями при создании нового цифрового контента.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276" w:lineRule="auto"/>
        <w:jc w:val="both"/>
        <w:rPr>
          <w:rFonts w:ascii="Times New Roman" w:cs="Times New Roman" w:eastAsia="Times New Roman" w:hAnsi="Times New Roman"/>
          <w:color w:val="09090b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9090b"/>
          <w:sz w:val="28"/>
          <w:szCs w:val="28"/>
          <w:rtl w:val="0"/>
        </w:rPr>
        <w:t xml:space="preserve">В этой связи разработка и апробация методических материалов по теме ООПТ позволит расширить спектр образовательных инструментов, усилить просветительскую функцию и повысить доступность качественного экологического образования для педагогов  школьников региона.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line="312" w:lineRule="auto"/>
        <w:jc w:val="both"/>
        <w:rPr>
          <w:rFonts w:ascii="Times New Roman" w:cs="Times New Roman" w:eastAsia="Times New Roman" w:hAnsi="Times New Roman"/>
          <w:b w:val="1"/>
          <w:bCs w:val="1"/>
          <w:color w:val="09090b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9090b"/>
          <w:sz w:val="30"/>
          <w:szCs w:val="30"/>
          <w:rtl w:val="0"/>
        </w:rPr>
        <w:t xml:space="preserve">Целевая аудитория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0" w:lineRule="auto"/>
        <w:jc w:val="both"/>
        <w:rPr>
          <w:rFonts w:ascii="Times New Roman" w:cs="Times New Roman" w:eastAsia="Times New Roman" w:hAnsi="Times New Roman"/>
          <w:color w:val="09090b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9090b"/>
          <w:sz w:val="28"/>
          <w:szCs w:val="28"/>
          <w:rtl w:val="0"/>
        </w:rPr>
        <w:t xml:space="preserve">Педагоги дополнительного и общего образования и школьники  г. Липецка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Желаемый продукт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Разработанные методические материалы, включающие сценарии занятий и экскурсий по ООПТ, виртуальные экскурсии и другие интерактивные форматы, размещённые на онлайн-платформе, позволят систематизировать и углубить знания педагогов и школьников г. Липецка, а также будут способствовать формированию у обучающихся навыков ответственного экологического поведения.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Реализация проекта усилит просветительскую деятельность образовательного учреждения и повысит доступность качественного экологического образования для педагогов и школьников региона.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line="312" w:lineRule="auto"/>
        <w:jc w:val="both"/>
        <w:rPr>
          <w:rFonts w:ascii="Times New Roman" w:cs="Times New Roman" w:eastAsia="Times New Roman" w:hAnsi="Times New Roman"/>
          <w:b w:val="1"/>
          <w:bCs w:val="1"/>
          <w:color w:val="09090b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9090b"/>
          <w:sz w:val="30"/>
          <w:szCs w:val="30"/>
          <w:rtl w:val="0"/>
        </w:rPr>
        <w:t xml:space="preserve">Тип учебного заведения - исполнителя социальной задачи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ВУЗ</w:t>
      </w:r>
    </w:p>
    <w:p w:rsidR="00000000" w:rsidDel="00000000" w:rsidP="00000000" w:rsidRDefault="00000000" w:rsidRPr="00000000" w14:paraId="00000016">
      <w:pPr>
        <w:shd w:fill="ffffff" w:val="clear"/>
        <w:spacing w:line="312" w:lineRule="auto"/>
        <w:jc w:val="both"/>
        <w:rPr>
          <w:rFonts w:ascii="Times New Roman" w:cs="Times New Roman" w:eastAsia="Times New Roman" w:hAnsi="Times New Roman"/>
          <w:b w:val="1"/>
          <w:bCs w:val="1"/>
          <w:color w:val="09090b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line="312" w:lineRule="auto"/>
        <w:jc w:val="both"/>
        <w:rPr>
          <w:rFonts w:ascii="Times New Roman" w:cs="Times New Roman" w:eastAsia="Times New Roman" w:hAnsi="Times New Roman"/>
          <w:b w:val="1"/>
          <w:bCs w:val="1"/>
          <w:color w:val="09090b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9090b"/>
          <w:sz w:val="30"/>
          <w:szCs w:val="30"/>
          <w:rtl w:val="0"/>
        </w:rPr>
        <w:t xml:space="preserve">Учебное заведение - приоритетный исполнитель социальной задачи</w:t>
      </w:r>
    </w:p>
    <w:p w:rsidR="00000000" w:rsidDel="00000000" w:rsidP="00000000" w:rsidRDefault="00000000" w:rsidRPr="00000000" w14:paraId="00000018">
      <w:pPr>
        <w:shd w:fill="ffffff" w:val="clear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ЛГПУ имени П.П. Семенова-Тян-Шанского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line="312" w:lineRule="auto"/>
        <w:jc w:val="both"/>
        <w:rPr>
          <w:rFonts w:ascii="Times New Roman" w:cs="Times New Roman" w:eastAsia="Times New Roman" w:hAnsi="Times New Roman"/>
          <w:b w:val="1"/>
          <w:bCs w:val="1"/>
          <w:color w:val="09090b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9090b"/>
          <w:sz w:val="30"/>
          <w:szCs w:val="30"/>
          <w:rtl w:val="0"/>
        </w:rPr>
        <w:t xml:space="preserve">Формат участия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Смешанный (очное и онлайн)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https://goo.su/e1xs0h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goo.su/e1xs0h" TargetMode="External"/><Relationship Id="rId9" Type="http://schemas.openxmlformats.org/officeDocument/2006/relationships/hyperlink" Target="https://docs.google.com/document/d/11oGLvBZZ25awq8Eui51ctxLxPiODBBJRkTkqCtwjCcQ/edit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dobro.ru/organizations/10040310/feed" TargetMode="External"/><Relationship Id="rId7" Type="http://schemas.openxmlformats.org/officeDocument/2006/relationships/hyperlink" Target="https://goo.su/e1xs0h" TargetMode="External"/><Relationship Id="rId8" Type="http://schemas.openxmlformats.org/officeDocument/2006/relationships/hyperlink" Target="https://docs.google.com/document/d/1_gMT2uG4Gkh-KvoV9OgaAtRD3-LTWaqG7XvSII47D20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